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SimSun" w:eastAsia="SimSun" w:hAnsi="SimSun" w:hint="eastAsia"/>
          <w:color w:val="000000"/>
          <w:sz w:val="30"/>
          <w:szCs w:val="30"/>
          <w:u w:val="single"/>
        </w:rPr>
        <w:t>台灣首府大學學生通識教育課程修業規定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jc w:val="right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  <w:sz w:val="14"/>
          <w:szCs w:val="14"/>
        </w:rPr>
        <w:t>99年7月14日校務會議通過更名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jc w:val="right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  <w:sz w:val="14"/>
          <w:szCs w:val="14"/>
        </w:rPr>
        <w:t>100年4月13日99學年度第二學期第1次教務會議通過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left="600" w:hanging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一、 本校通識教育課程分為通識必修課程與通識選修課程。本校大學部、</w:t>
      </w:r>
      <w:proofErr w:type="gramStart"/>
      <w:r>
        <w:rPr>
          <w:rFonts w:ascii="SimSun" w:eastAsia="SimSun" w:hAnsi="SimSun" w:hint="eastAsia"/>
          <w:color w:val="000000"/>
        </w:rPr>
        <w:t>進修部及</w:t>
      </w:r>
      <w:proofErr w:type="gramEnd"/>
      <w:r>
        <w:rPr>
          <w:rFonts w:ascii="SimSun" w:eastAsia="SimSun" w:hAnsi="SimSun" w:hint="eastAsia"/>
          <w:color w:val="000000"/>
        </w:rPr>
        <w:t>二技部學生須修足下述通識教育最低學分方能畢業：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firstLine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（一）大學部學生：核心課程12學分，博雅課程18學分，總計30學分。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firstLine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（二）進修部學生：必修課程16學分，選修課程14學分，總計30學分。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firstLine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（三）二技部學生：必修課程8學分，選修課程2學分，總計10學分。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left="600" w:hanging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二、 通識必修課程原則上在一年級開課，通識選修課程原則上在二年級開課，學生</w:t>
      </w:r>
      <w:proofErr w:type="gramStart"/>
      <w:r>
        <w:rPr>
          <w:rFonts w:ascii="SimSun" w:eastAsia="SimSun" w:hAnsi="SimSun" w:hint="eastAsia"/>
          <w:color w:val="000000"/>
        </w:rPr>
        <w:t>須依通識</w:t>
      </w:r>
      <w:proofErr w:type="gramEnd"/>
      <w:r>
        <w:rPr>
          <w:rFonts w:ascii="SimSun" w:eastAsia="SimSun" w:hAnsi="SimSun" w:hint="eastAsia"/>
          <w:color w:val="000000"/>
        </w:rPr>
        <w:t>課程科目開課年級進行修課事宜。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left="600" w:hanging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三、 大學</w:t>
      </w:r>
      <w:proofErr w:type="gramStart"/>
      <w:r>
        <w:rPr>
          <w:rFonts w:ascii="SimSun" w:eastAsia="SimSun" w:hAnsi="SimSun" w:hint="eastAsia"/>
          <w:color w:val="000000"/>
        </w:rPr>
        <w:t>日間部通識</w:t>
      </w:r>
      <w:proofErr w:type="gramEnd"/>
      <w:r>
        <w:rPr>
          <w:rFonts w:ascii="SimSun" w:eastAsia="SimSun" w:hAnsi="SimSun" w:hint="eastAsia"/>
          <w:color w:val="000000"/>
        </w:rPr>
        <w:t>教育課程結構：課程結構分為：基礎核心課程12學分、博雅核心課程12學分、博雅深化課程6學分，合計30學分。各課程分述如下：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left="1320" w:hanging="72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（一）基礎課程：必修12學分，含「漢語文」4學分、「英語文」4學分、「英語聽講練習」2學分（4小時）、「電腦與軟體應用」2學分。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left="1200" w:hanging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（二）博雅核心課程：必修12學分，大一、大二修習，分成「人文與藝術」、「社會科學」、「自然科學」三領域，各領域之核心</w:t>
      </w:r>
      <w:proofErr w:type="gramStart"/>
      <w:r>
        <w:rPr>
          <w:rFonts w:ascii="SimSun" w:eastAsia="SimSun" w:hAnsi="SimSun" w:hint="eastAsia"/>
          <w:color w:val="000000"/>
        </w:rPr>
        <w:t>課程均有三門</w:t>
      </w:r>
      <w:proofErr w:type="gramEnd"/>
      <w:r>
        <w:rPr>
          <w:rFonts w:ascii="SimSun" w:eastAsia="SimSun" w:hAnsi="SimSun" w:hint="eastAsia"/>
          <w:color w:val="000000"/>
        </w:rPr>
        <w:t>課，學生必須於每領域三門課中選修二門課，共六門課，合計12學分。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left="1200" w:hanging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（三）博雅深化課程：選修6學分，大三、大四修習，分成「人文與藝術」、「社會科學」、「自然科學」三領域，為進階的博雅課程，學生必須於每領域課程中選修一門課，共三門課，合計6學分。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left="600" w:hanging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四、 大學</w:t>
      </w:r>
      <w:proofErr w:type="gramStart"/>
      <w:r>
        <w:rPr>
          <w:rFonts w:ascii="SimSun" w:eastAsia="SimSun" w:hAnsi="SimSun" w:hint="eastAsia"/>
          <w:color w:val="000000"/>
        </w:rPr>
        <w:t>進修部通識</w:t>
      </w:r>
      <w:proofErr w:type="gramEnd"/>
      <w:r>
        <w:rPr>
          <w:rFonts w:ascii="SimSun" w:eastAsia="SimSun" w:hAnsi="SimSun" w:hint="eastAsia"/>
          <w:color w:val="000000"/>
        </w:rPr>
        <w:t>教育課程結構：課程結構分為：必修課程16學分、選修課程14學分，合計30學分。各課程分述如下：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left="1200" w:hanging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（一）必修課程：必修16學分，含「漢語文」4學分、「英語文」4學分、「英語聽講練習」4學分、「電腦與軟體應用」2學分、「倫理學議題」2學分。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left="1200" w:hanging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（二）選修課程：選修14學分，分人文與藝術、社會科學、自然科學三大領域，不分系所一律需修滿人文與藝術領域4學分、社會科學領域4學分、自然科學領域6學分。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五、 二</w:t>
      </w:r>
      <w:proofErr w:type="gramStart"/>
      <w:r>
        <w:rPr>
          <w:rFonts w:ascii="SimSun" w:eastAsia="SimSun" w:hAnsi="SimSun" w:hint="eastAsia"/>
          <w:color w:val="000000"/>
        </w:rPr>
        <w:t>技部識教育</w:t>
      </w:r>
      <w:proofErr w:type="gramEnd"/>
      <w:r>
        <w:rPr>
          <w:rFonts w:ascii="SimSun" w:eastAsia="SimSun" w:hAnsi="SimSun" w:hint="eastAsia"/>
          <w:color w:val="000000"/>
        </w:rPr>
        <w:t>課程結構：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left="1200" w:hanging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lastRenderedPageBreak/>
        <w:t>（一）二技及進修部共同必選修課程，畢業學分為10學分，其中共同必修8學分；共同選修（不分領域）2學分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left="1200" w:hanging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（二）共同選修領域若與各系專業課程領域性質相關者，則尊重各系所提出之排除通識領域之相關課程。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left="600" w:hanging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六、 通識教育科目與各系專業必修或選修科目性質相似，且其學分數不低於2學分者，得免</w:t>
      </w:r>
      <w:proofErr w:type="gramStart"/>
      <w:r>
        <w:rPr>
          <w:rFonts w:ascii="SimSun" w:eastAsia="SimSun" w:hAnsi="SimSun" w:hint="eastAsia"/>
          <w:color w:val="000000"/>
        </w:rPr>
        <w:t>修該通識</w:t>
      </w:r>
      <w:proofErr w:type="gramEnd"/>
      <w:r>
        <w:rPr>
          <w:rFonts w:ascii="SimSun" w:eastAsia="SimSun" w:hAnsi="SimSun" w:hint="eastAsia"/>
          <w:color w:val="000000"/>
        </w:rPr>
        <w:t>課程科目，但該系學生仍須補足第三條所規定之畢業</w:t>
      </w:r>
      <w:proofErr w:type="gramStart"/>
      <w:r>
        <w:rPr>
          <w:rFonts w:ascii="SimSun" w:eastAsia="SimSun" w:hAnsi="SimSun" w:hint="eastAsia"/>
          <w:color w:val="000000"/>
        </w:rPr>
        <w:t>所需通識</w:t>
      </w:r>
      <w:proofErr w:type="gramEnd"/>
      <w:r>
        <w:rPr>
          <w:rFonts w:ascii="SimSun" w:eastAsia="SimSun" w:hAnsi="SimSun" w:hint="eastAsia"/>
          <w:color w:val="000000"/>
        </w:rPr>
        <w:t>教育最低總學分數。</w:t>
      </w:r>
    </w:p>
    <w:p w:rsidR="00B44F7D" w:rsidRDefault="00B44F7D" w:rsidP="00B44F7D">
      <w:pPr>
        <w:pStyle w:val="Web"/>
        <w:shd w:val="clear" w:color="auto" w:fill="FFFDF7"/>
        <w:spacing w:before="150" w:beforeAutospacing="0" w:after="150" w:afterAutospacing="0"/>
        <w:ind w:left="600" w:hanging="60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七、 本規定未盡事宜，悉依相關法令規定辦理。本規定經教務會議通過，陳請校長核定後實行。</w:t>
      </w:r>
    </w:p>
    <w:p w:rsidR="003535D7" w:rsidRPr="00B44F7D" w:rsidRDefault="00B44F7D">
      <w:bookmarkStart w:id="0" w:name="_GoBack"/>
      <w:bookmarkEnd w:id="0"/>
    </w:p>
    <w:sectPr w:rsidR="003535D7" w:rsidRPr="00B44F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7D"/>
    <w:rsid w:val="00555E1D"/>
    <w:rsid w:val="00767457"/>
    <w:rsid w:val="00A741C5"/>
    <w:rsid w:val="00B44F7D"/>
    <w:rsid w:val="00BE7900"/>
    <w:rsid w:val="00C17D75"/>
    <w:rsid w:val="00D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4F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44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4F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44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wujengda</dc:creator>
  <cp:lastModifiedBy>wujengda</cp:lastModifiedBy>
  <cp:revision>1</cp:revision>
  <dcterms:created xsi:type="dcterms:W3CDTF">2015-10-22T04:04:00Z</dcterms:created>
  <dcterms:modified xsi:type="dcterms:W3CDTF">2015-10-22T04:04:00Z</dcterms:modified>
</cp:coreProperties>
</file>